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22E" w:rsidRPr="009D3EB0" w:rsidRDefault="0074722E" w:rsidP="003906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</w:p>
    <w:p w:rsidR="0074722E" w:rsidRPr="009D3EB0" w:rsidRDefault="0074722E" w:rsidP="003906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</w:p>
    <w:p w:rsidR="00390617" w:rsidRPr="006F1C9D" w:rsidRDefault="006F1C9D" w:rsidP="00EB2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szCs w:val="22"/>
          <w:u w:val="single"/>
        </w:rPr>
      </w:pPr>
      <w:r w:rsidRPr="006F1C9D">
        <w:rPr>
          <w:rFonts w:ascii="Arial" w:hAnsi="Arial" w:cs="Arial"/>
          <w:b/>
          <w:szCs w:val="22"/>
          <w:u w:val="single"/>
        </w:rPr>
        <w:t>ANÁLISIS PRONUNCIAMIENTOS JUDICIALES RELEVANTES PARA EL GRUPO DE DEFENSA CONSTITUCIONAL</w:t>
      </w:r>
      <w:r>
        <w:rPr>
          <w:rFonts w:ascii="Arial" w:hAnsi="Arial" w:cs="Arial"/>
          <w:b/>
          <w:szCs w:val="22"/>
          <w:u w:val="single"/>
        </w:rPr>
        <w:t>.</w:t>
      </w:r>
    </w:p>
    <w:p w:rsidR="00390617" w:rsidRDefault="00390617" w:rsidP="003906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</w:p>
    <w:p w:rsidR="006F1C9D" w:rsidRPr="009D3EB0" w:rsidRDefault="006F1C9D" w:rsidP="003906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</w:p>
    <w:p w:rsidR="00EB269D" w:rsidRPr="006F1C9D" w:rsidRDefault="00EB269D" w:rsidP="006F1C9D">
      <w:pPr>
        <w:pStyle w:val="Prrafodelista"/>
        <w:widowControl/>
        <w:adjustRightInd/>
        <w:spacing w:after="200" w:line="276" w:lineRule="auto"/>
        <w:contextualSpacing w:val="0"/>
        <w:jc w:val="center"/>
        <w:rPr>
          <w:rFonts w:ascii="Arial" w:hAnsi="Arial" w:cs="Arial"/>
          <w:b/>
          <w:bCs/>
          <w:u w:val="single"/>
        </w:rPr>
      </w:pPr>
      <w:r w:rsidRPr="006F1C9D">
        <w:rPr>
          <w:rFonts w:ascii="Arial" w:hAnsi="Arial" w:cs="Arial"/>
          <w:b/>
          <w:bCs/>
          <w:u w:val="single"/>
        </w:rPr>
        <w:t>ANALISIS CONCEPTUAL</w:t>
      </w:r>
    </w:p>
    <w:p w:rsidR="00EB269D" w:rsidRDefault="00EB269D" w:rsidP="00EB269D">
      <w:pPr>
        <w:rPr>
          <w:rFonts w:ascii="Arial" w:hAnsi="Arial" w:cs="Arial"/>
        </w:rPr>
      </w:pPr>
    </w:p>
    <w:p w:rsidR="00EB269D" w:rsidRDefault="00EB269D" w:rsidP="00EB269D">
      <w:pPr>
        <w:pStyle w:val="Prrafodelista"/>
        <w:widowControl/>
        <w:numPr>
          <w:ilvl w:val="0"/>
          <w:numId w:val="2"/>
        </w:numPr>
        <w:adjustRightInd/>
        <w:spacing w:after="200" w:line="276" w:lineRule="auto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IDENTIFICACION DE LA PROVIDENCIA </w:t>
      </w:r>
    </w:p>
    <w:p w:rsidR="00EB269D" w:rsidRDefault="00581518" w:rsidP="00EB269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Concejo de Estado - </w:t>
      </w:r>
      <w:r w:rsidRPr="00581518">
        <w:rPr>
          <w:rFonts w:ascii="Arial" w:hAnsi="Arial" w:cs="Arial"/>
        </w:rPr>
        <w:t>sala de consulta y servicio civil</w:t>
      </w:r>
      <w:r>
        <w:rPr>
          <w:rFonts w:ascii="Arial" w:hAnsi="Arial" w:cs="Arial"/>
        </w:rPr>
        <w:t xml:space="preserve">, </w:t>
      </w:r>
      <w:r w:rsidRPr="00581518">
        <w:rPr>
          <w:rFonts w:ascii="Arial" w:hAnsi="Arial" w:cs="Arial"/>
        </w:rPr>
        <w:t>concepto sala de consulta c.e. 2145 de 2013</w:t>
      </w:r>
      <w:r>
        <w:rPr>
          <w:rFonts w:ascii="Arial" w:hAnsi="Arial" w:cs="Arial"/>
        </w:rPr>
        <w:t xml:space="preserve">, </w:t>
      </w:r>
      <w:r w:rsidRPr="00581518">
        <w:rPr>
          <w:rFonts w:ascii="Arial" w:hAnsi="Arial" w:cs="Arial"/>
        </w:rPr>
        <w:t>Rad. No. 11001-03-06-000-2013-00206-00</w:t>
      </w:r>
      <w:r>
        <w:rPr>
          <w:rFonts w:ascii="Arial" w:hAnsi="Arial" w:cs="Arial"/>
        </w:rPr>
        <w:t xml:space="preserve">, </w:t>
      </w:r>
      <w:r w:rsidRPr="00581518">
        <w:rPr>
          <w:rFonts w:ascii="Arial" w:hAnsi="Arial" w:cs="Arial"/>
        </w:rPr>
        <w:t>consejero ponente: WILLIAM ZAMBRANO CETINA</w:t>
      </w:r>
      <w:r>
        <w:rPr>
          <w:rFonts w:ascii="Arial" w:hAnsi="Arial" w:cs="Arial"/>
        </w:rPr>
        <w:t>.</w:t>
      </w:r>
    </w:p>
    <w:p w:rsidR="00581518" w:rsidRDefault="00581518" w:rsidP="00EB269D">
      <w:pPr>
        <w:ind w:left="360"/>
        <w:jc w:val="both"/>
        <w:rPr>
          <w:rFonts w:ascii="Arial" w:hAnsi="Arial" w:cs="Arial"/>
          <w:i/>
          <w:iCs/>
          <w:u w:val="single"/>
        </w:rPr>
      </w:pPr>
    </w:p>
    <w:p w:rsidR="00EB269D" w:rsidRDefault="00EB269D" w:rsidP="00EB269D">
      <w:pPr>
        <w:pStyle w:val="Prrafodelista"/>
        <w:widowControl/>
        <w:numPr>
          <w:ilvl w:val="0"/>
          <w:numId w:val="2"/>
        </w:numPr>
        <w:adjustRightInd/>
        <w:spacing w:after="200" w:line="276" w:lineRule="auto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HECHOS RELEVANTES </w:t>
      </w:r>
    </w:p>
    <w:p w:rsidR="00EB269D" w:rsidRDefault="00EB269D" w:rsidP="00EB269D">
      <w:pPr>
        <w:pStyle w:val="Prrafodelista"/>
        <w:ind w:left="1080"/>
        <w:jc w:val="both"/>
        <w:rPr>
          <w:rFonts w:ascii="Arial" w:hAnsi="Arial" w:cs="Arial"/>
          <w:b/>
          <w:bCs/>
        </w:rPr>
      </w:pPr>
    </w:p>
    <w:p w:rsidR="00581518" w:rsidRDefault="00581518" w:rsidP="0058151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Se eleva pregunta a la sala de consulta y servicio civil solicitando la siguiente información.</w:t>
      </w:r>
    </w:p>
    <w:p w:rsidR="00581518" w:rsidRDefault="00581518" w:rsidP="00581518">
      <w:pPr>
        <w:ind w:left="360"/>
        <w:jc w:val="both"/>
        <w:rPr>
          <w:rFonts w:ascii="Arial" w:hAnsi="Arial" w:cs="Arial"/>
        </w:rPr>
      </w:pPr>
    </w:p>
    <w:p w:rsidR="00581518" w:rsidRDefault="00581518" w:rsidP="00783765">
      <w:pPr>
        <w:ind w:left="360"/>
        <w:rPr>
          <w:rFonts w:ascii="Arial" w:hAnsi="Arial" w:cs="Arial"/>
        </w:rPr>
      </w:pPr>
      <w:r w:rsidRPr="00581518">
        <w:rPr>
          <w:rFonts w:ascii="Arial" w:hAnsi="Arial" w:cs="Arial"/>
        </w:rPr>
        <w:t xml:space="preserve">¿De acuerdo con la normatividad y la jurisprudencia, actualmente existe una exención </w:t>
      </w:r>
      <w:r w:rsidR="00783765">
        <w:rPr>
          <w:rFonts w:ascii="Arial" w:hAnsi="Arial" w:cs="Arial"/>
        </w:rPr>
        <w:t xml:space="preserve">  </w:t>
      </w:r>
      <w:r w:rsidRPr="00581518">
        <w:rPr>
          <w:rFonts w:ascii="Arial" w:hAnsi="Arial" w:cs="Arial"/>
        </w:rPr>
        <w:t xml:space="preserve">o </w:t>
      </w:r>
      <w:r w:rsidR="00783765">
        <w:rPr>
          <w:rFonts w:ascii="Arial" w:hAnsi="Arial" w:cs="Arial"/>
        </w:rPr>
        <w:t xml:space="preserve">   </w:t>
      </w:r>
      <w:r w:rsidRPr="00581518">
        <w:rPr>
          <w:rFonts w:ascii="Arial" w:hAnsi="Arial" w:cs="Arial"/>
        </w:rPr>
        <w:t xml:space="preserve">tratamiento </w:t>
      </w:r>
      <w:r w:rsidR="00783765">
        <w:rPr>
          <w:rFonts w:ascii="Arial" w:hAnsi="Arial" w:cs="Arial"/>
        </w:rPr>
        <w:t xml:space="preserve">  </w:t>
      </w:r>
      <w:r w:rsidRPr="00581518">
        <w:rPr>
          <w:rFonts w:ascii="Arial" w:hAnsi="Arial" w:cs="Arial"/>
        </w:rPr>
        <w:t xml:space="preserve">tributario </w:t>
      </w:r>
      <w:r w:rsidR="00783765">
        <w:rPr>
          <w:rFonts w:ascii="Arial" w:hAnsi="Arial" w:cs="Arial"/>
        </w:rPr>
        <w:t xml:space="preserve">  </w:t>
      </w:r>
      <w:r w:rsidRPr="00581518">
        <w:rPr>
          <w:rFonts w:ascii="Arial" w:hAnsi="Arial" w:cs="Arial"/>
        </w:rPr>
        <w:t>preferencial de carácter</w:t>
      </w:r>
      <w:r w:rsidR="00783765">
        <w:rPr>
          <w:rFonts w:ascii="Arial" w:hAnsi="Arial" w:cs="Arial"/>
        </w:rPr>
        <w:t xml:space="preserve"> </w:t>
      </w:r>
      <w:r w:rsidRPr="00581518">
        <w:rPr>
          <w:rFonts w:ascii="Arial" w:hAnsi="Arial" w:cs="Arial"/>
        </w:rPr>
        <w:t>subjetivo que beneficie a la Universidad Nacional de Colombia en calidad de universidad pública?</w:t>
      </w:r>
    </w:p>
    <w:p w:rsidR="00581518" w:rsidRPr="00581518" w:rsidRDefault="00581518" w:rsidP="00581518">
      <w:pPr>
        <w:ind w:left="360"/>
        <w:jc w:val="both"/>
        <w:rPr>
          <w:rFonts w:ascii="Arial" w:hAnsi="Arial" w:cs="Arial"/>
        </w:rPr>
      </w:pPr>
    </w:p>
    <w:p w:rsidR="00581518" w:rsidRPr="00581518" w:rsidRDefault="00581518" w:rsidP="00581518">
      <w:pPr>
        <w:ind w:left="360"/>
        <w:jc w:val="both"/>
        <w:rPr>
          <w:rFonts w:ascii="Arial" w:hAnsi="Arial" w:cs="Arial"/>
        </w:rPr>
      </w:pPr>
      <w:r w:rsidRPr="00581518">
        <w:rPr>
          <w:rFonts w:ascii="Arial" w:hAnsi="Arial" w:cs="Arial"/>
        </w:rPr>
        <w:t>¿En virtud de lo establecido por el artículo 2 del Decreto 596 de 1996, en concordancia con el Plan de Ordenamiento Territorial de la ciudad</w:t>
      </w:r>
      <w:r w:rsidR="00783765">
        <w:rPr>
          <w:rFonts w:ascii="Arial" w:hAnsi="Arial" w:cs="Arial"/>
        </w:rPr>
        <w:t xml:space="preserve"> de Bogotá,</w:t>
      </w:r>
    </w:p>
    <w:p w:rsidR="00581518" w:rsidRDefault="00581518" w:rsidP="00581518">
      <w:pPr>
        <w:ind w:left="360"/>
        <w:jc w:val="both"/>
        <w:rPr>
          <w:rFonts w:ascii="Arial" w:hAnsi="Arial" w:cs="Arial"/>
        </w:rPr>
      </w:pPr>
      <w:r w:rsidRPr="00581518">
        <w:rPr>
          <w:rFonts w:ascii="Arial" w:hAnsi="Arial" w:cs="Arial"/>
        </w:rPr>
        <w:t>consagrado en el Decreto 619 de 2000, la Universidad Nacional de Colombia está exenta del 100% del pago del impuesto</w:t>
      </w:r>
      <w:r w:rsidR="00E86688">
        <w:rPr>
          <w:rFonts w:ascii="Arial" w:hAnsi="Arial" w:cs="Arial"/>
        </w:rPr>
        <w:t xml:space="preserve"> </w:t>
      </w:r>
      <w:r w:rsidRPr="00581518">
        <w:rPr>
          <w:rFonts w:ascii="Arial" w:hAnsi="Arial" w:cs="Arial"/>
        </w:rPr>
        <w:t>predial?</w:t>
      </w:r>
    </w:p>
    <w:p w:rsidR="00581518" w:rsidRDefault="00581518" w:rsidP="00581518">
      <w:pPr>
        <w:ind w:left="360"/>
        <w:jc w:val="both"/>
        <w:rPr>
          <w:rFonts w:ascii="Arial" w:hAnsi="Arial" w:cs="Arial"/>
        </w:rPr>
      </w:pPr>
    </w:p>
    <w:p w:rsidR="00581518" w:rsidRDefault="00581518" w:rsidP="00783765">
      <w:pPr>
        <w:ind w:left="360"/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</w:rPr>
        <w:t xml:space="preserve"> </w:t>
      </w:r>
    </w:p>
    <w:p w:rsidR="00EB269D" w:rsidRDefault="00EB269D" w:rsidP="00EB269D">
      <w:pPr>
        <w:pStyle w:val="Prrafodelista"/>
        <w:widowControl/>
        <w:numPr>
          <w:ilvl w:val="0"/>
          <w:numId w:val="2"/>
        </w:numPr>
        <w:adjustRightInd/>
        <w:spacing w:after="200" w:line="276" w:lineRule="auto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ASPECTO JURIDICO CONSIDERADO</w:t>
      </w:r>
    </w:p>
    <w:p w:rsidR="00EB269D" w:rsidRDefault="00581518" w:rsidP="00581518">
      <w:pPr>
        <w:ind w:left="360"/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</w:rPr>
        <w:t>Tratamiento tributario preferencial.</w:t>
      </w:r>
    </w:p>
    <w:p w:rsidR="00EB269D" w:rsidRDefault="00EB269D" w:rsidP="00EB269D">
      <w:pPr>
        <w:pStyle w:val="Prrafodelista"/>
        <w:ind w:left="1080"/>
        <w:jc w:val="both"/>
        <w:rPr>
          <w:rFonts w:ascii="Arial" w:hAnsi="Arial" w:cs="Arial"/>
          <w:b/>
          <w:bCs/>
        </w:rPr>
      </w:pPr>
    </w:p>
    <w:p w:rsidR="00EB269D" w:rsidRDefault="00EB269D" w:rsidP="00EB269D">
      <w:pPr>
        <w:pStyle w:val="Prrafodelista"/>
        <w:widowControl/>
        <w:numPr>
          <w:ilvl w:val="0"/>
          <w:numId w:val="2"/>
        </w:numPr>
        <w:adjustRightInd/>
        <w:spacing w:after="200" w:line="276" w:lineRule="auto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PARTES</w:t>
      </w:r>
    </w:p>
    <w:p w:rsidR="00EB269D" w:rsidRDefault="00EB269D" w:rsidP="00EB269D">
      <w:pPr>
        <w:pStyle w:val="Prrafodelista"/>
        <w:widowControl/>
        <w:numPr>
          <w:ilvl w:val="0"/>
          <w:numId w:val="4"/>
        </w:numPr>
        <w:adjustRightInd/>
        <w:spacing w:after="200" w:line="276" w:lineRule="auto"/>
        <w:contextualSpacing w:val="0"/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u w:val="single"/>
        </w:rPr>
        <w:t>Sujeto Activo. A</w:t>
      </w:r>
      <w:r w:rsidR="00B009A5">
        <w:rPr>
          <w:rFonts w:ascii="Arial" w:hAnsi="Arial" w:cs="Arial"/>
          <w:i/>
          <w:iCs/>
          <w:u w:val="single"/>
        </w:rPr>
        <w:t>, Universidad Nacional de Colombia</w:t>
      </w:r>
    </w:p>
    <w:p w:rsidR="00EB269D" w:rsidRDefault="00EB269D" w:rsidP="00EB269D">
      <w:pPr>
        <w:pStyle w:val="Prrafodelista"/>
        <w:widowControl/>
        <w:numPr>
          <w:ilvl w:val="0"/>
          <w:numId w:val="4"/>
        </w:numPr>
        <w:adjustRightInd/>
        <w:spacing w:after="200" w:line="276" w:lineRule="auto"/>
        <w:contextualSpacing w:val="0"/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u w:val="single"/>
        </w:rPr>
        <w:t>Sujeto Pasivo. B</w:t>
      </w:r>
      <w:r w:rsidR="00B009A5">
        <w:rPr>
          <w:rFonts w:ascii="Arial" w:hAnsi="Arial" w:cs="Arial"/>
          <w:i/>
          <w:iCs/>
          <w:u w:val="single"/>
        </w:rPr>
        <w:t xml:space="preserve">, </w:t>
      </w:r>
      <w:r w:rsidR="00B009A5" w:rsidRPr="00B009A5">
        <w:rPr>
          <w:rFonts w:ascii="Arial" w:hAnsi="Arial" w:cs="Arial"/>
          <w:i/>
          <w:iCs/>
          <w:u w:val="single"/>
        </w:rPr>
        <w:t>Secretaría de Hacienda Distrital</w:t>
      </w:r>
    </w:p>
    <w:p w:rsidR="006F1C9D" w:rsidRDefault="006F1C9D" w:rsidP="006F1C9D">
      <w:pPr>
        <w:pStyle w:val="Prrafodelista"/>
        <w:widowControl/>
        <w:adjustRightInd/>
        <w:spacing w:after="200" w:line="276" w:lineRule="auto"/>
        <w:ind w:left="1080"/>
        <w:contextualSpacing w:val="0"/>
        <w:jc w:val="both"/>
        <w:rPr>
          <w:rFonts w:ascii="Arial" w:hAnsi="Arial" w:cs="Arial"/>
          <w:i/>
          <w:iCs/>
          <w:u w:val="single"/>
        </w:rPr>
      </w:pPr>
    </w:p>
    <w:p w:rsidR="006F1C9D" w:rsidRDefault="006F1C9D" w:rsidP="006F1C9D">
      <w:pPr>
        <w:pStyle w:val="Prrafodelista"/>
        <w:widowControl/>
        <w:adjustRightInd/>
        <w:spacing w:after="200" w:line="276" w:lineRule="auto"/>
        <w:ind w:left="1080"/>
        <w:contextualSpacing w:val="0"/>
        <w:jc w:val="both"/>
        <w:rPr>
          <w:rFonts w:ascii="Arial" w:hAnsi="Arial" w:cs="Arial"/>
          <w:i/>
          <w:iCs/>
          <w:u w:val="single"/>
        </w:rPr>
      </w:pPr>
    </w:p>
    <w:p w:rsidR="006F1C9D" w:rsidRDefault="006F1C9D" w:rsidP="006F1C9D">
      <w:pPr>
        <w:pStyle w:val="Prrafodelista"/>
        <w:widowControl/>
        <w:adjustRightInd/>
        <w:spacing w:after="200" w:line="276" w:lineRule="auto"/>
        <w:ind w:left="1080"/>
        <w:contextualSpacing w:val="0"/>
        <w:jc w:val="both"/>
        <w:rPr>
          <w:rFonts w:ascii="Arial" w:hAnsi="Arial" w:cs="Arial"/>
          <w:i/>
          <w:iCs/>
          <w:u w:val="single"/>
        </w:rPr>
      </w:pPr>
    </w:p>
    <w:p w:rsidR="006F1C9D" w:rsidRDefault="006F1C9D" w:rsidP="006F1C9D">
      <w:pPr>
        <w:pStyle w:val="Prrafodelista"/>
        <w:widowControl/>
        <w:adjustRightInd/>
        <w:spacing w:after="200" w:line="276" w:lineRule="auto"/>
        <w:ind w:left="1080"/>
        <w:contextualSpacing w:val="0"/>
        <w:jc w:val="both"/>
        <w:rPr>
          <w:rFonts w:ascii="Arial" w:hAnsi="Arial" w:cs="Arial"/>
          <w:i/>
          <w:iCs/>
          <w:u w:val="single"/>
        </w:rPr>
      </w:pPr>
    </w:p>
    <w:p w:rsidR="00EB269D" w:rsidRDefault="00EB269D" w:rsidP="00EB269D">
      <w:pPr>
        <w:ind w:left="360"/>
        <w:jc w:val="both"/>
        <w:rPr>
          <w:rFonts w:ascii="Arial" w:hAnsi="Arial" w:cs="Arial"/>
        </w:rPr>
      </w:pPr>
    </w:p>
    <w:p w:rsidR="00EB269D" w:rsidRDefault="00EB269D" w:rsidP="00EB269D">
      <w:pPr>
        <w:pStyle w:val="Prrafodelista"/>
        <w:widowControl/>
        <w:numPr>
          <w:ilvl w:val="0"/>
          <w:numId w:val="2"/>
        </w:numPr>
        <w:adjustRightInd/>
        <w:spacing w:after="200" w:line="276" w:lineRule="auto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PROBLEMA JURIDICO</w:t>
      </w:r>
    </w:p>
    <w:p w:rsidR="00581518" w:rsidRDefault="00581518" w:rsidP="00B547DE">
      <w:pPr>
        <w:ind w:left="360"/>
        <w:jc w:val="both"/>
        <w:rPr>
          <w:rFonts w:ascii="Arial" w:hAnsi="Arial" w:cs="Arial"/>
          <w:i/>
          <w:iCs/>
        </w:rPr>
      </w:pPr>
      <w:r w:rsidRPr="00581518">
        <w:rPr>
          <w:rFonts w:ascii="Arial" w:hAnsi="Arial" w:cs="Arial"/>
          <w:i/>
          <w:iCs/>
        </w:rPr>
        <w:t>¿</w:t>
      </w:r>
      <w:r w:rsidR="00B547DE">
        <w:rPr>
          <w:rFonts w:ascii="Arial" w:hAnsi="Arial" w:cs="Arial"/>
          <w:i/>
          <w:iCs/>
        </w:rPr>
        <w:t>Es sujet</w:t>
      </w:r>
      <w:bookmarkStart w:id="0" w:name="_GoBack"/>
      <w:bookmarkEnd w:id="0"/>
      <w:r w:rsidR="00B547DE">
        <w:rPr>
          <w:rFonts w:ascii="Arial" w:hAnsi="Arial" w:cs="Arial"/>
          <w:i/>
          <w:iCs/>
        </w:rPr>
        <w:t>o de tratamiento preferencial las entidades públicas</w:t>
      </w:r>
      <w:r w:rsidRPr="00581518">
        <w:rPr>
          <w:rFonts w:ascii="Arial" w:hAnsi="Arial" w:cs="Arial"/>
          <w:i/>
          <w:iCs/>
        </w:rPr>
        <w:t>?</w:t>
      </w:r>
    </w:p>
    <w:p w:rsidR="00581518" w:rsidRPr="00581518" w:rsidRDefault="00581518" w:rsidP="00581518">
      <w:pPr>
        <w:ind w:left="360"/>
        <w:jc w:val="both"/>
        <w:rPr>
          <w:rFonts w:ascii="Arial" w:hAnsi="Arial" w:cs="Arial"/>
          <w:i/>
          <w:iCs/>
        </w:rPr>
      </w:pPr>
    </w:p>
    <w:p w:rsidR="00EB269D" w:rsidRDefault="00EB269D" w:rsidP="00EB269D">
      <w:pPr>
        <w:pStyle w:val="Prrafodelista"/>
        <w:ind w:left="1080"/>
        <w:jc w:val="both"/>
        <w:rPr>
          <w:rFonts w:ascii="Arial" w:hAnsi="Arial" w:cs="Arial"/>
          <w:b/>
          <w:bCs/>
        </w:rPr>
      </w:pPr>
    </w:p>
    <w:p w:rsidR="00B547DE" w:rsidRPr="00B547DE" w:rsidRDefault="00E86688" w:rsidP="00B547DE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</w:t>
      </w:r>
      <w:r w:rsidR="00B547DE" w:rsidRPr="00B547DE">
        <w:rPr>
          <w:rFonts w:ascii="Arial" w:hAnsi="Arial" w:cs="Arial"/>
          <w:i/>
          <w:iCs/>
        </w:rPr>
        <w:t>l artículo 14 del Decreto 1227 de 1910 dispuso lo siguiente en relación con las propiedades públicas:</w:t>
      </w:r>
    </w:p>
    <w:p w:rsidR="00B547DE" w:rsidRDefault="00B547DE" w:rsidP="00B547DE">
      <w:pPr>
        <w:jc w:val="both"/>
        <w:rPr>
          <w:rFonts w:ascii="Arial" w:hAnsi="Arial" w:cs="Arial"/>
          <w:i/>
          <w:iCs/>
        </w:rPr>
      </w:pPr>
    </w:p>
    <w:p w:rsidR="00B547DE" w:rsidRPr="00B547DE" w:rsidRDefault="00B547DE" w:rsidP="00B547DE">
      <w:pPr>
        <w:ind w:left="709"/>
        <w:jc w:val="both"/>
        <w:rPr>
          <w:rFonts w:ascii="Arial" w:hAnsi="Arial" w:cs="Arial"/>
          <w:i/>
          <w:iCs/>
        </w:rPr>
      </w:pPr>
      <w:r w:rsidRPr="00B547DE">
        <w:rPr>
          <w:rFonts w:ascii="Arial" w:hAnsi="Arial" w:cs="Arial"/>
          <w:i/>
          <w:iCs/>
        </w:rPr>
        <w:t>“Quedan exceptuadas del pago del impuesto predial las propiedades siguientes: (...) c) Las propiedades públicas, cualquiera que sea la</w:t>
      </w:r>
    </w:p>
    <w:p w:rsidR="00EB269D" w:rsidRDefault="00B547DE" w:rsidP="00B547DE">
      <w:pPr>
        <w:ind w:firstLine="709"/>
        <w:jc w:val="both"/>
        <w:rPr>
          <w:rFonts w:ascii="Arial" w:hAnsi="Arial" w:cs="Arial"/>
          <w:i/>
          <w:iCs/>
        </w:rPr>
      </w:pPr>
      <w:r w:rsidRPr="00B547DE">
        <w:rPr>
          <w:rFonts w:ascii="Arial" w:hAnsi="Arial" w:cs="Arial"/>
          <w:i/>
          <w:iCs/>
        </w:rPr>
        <w:t>denominación de la persona o entidad que la administre.”</w:t>
      </w:r>
    </w:p>
    <w:p w:rsidR="00B547DE" w:rsidRDefault="00B547DE" w:rsidP="00B547DE">
      <w:pPr>
        <w:ind w:firstLine="709"/>
        <w:jc w:val="both"/>
        <w:rPr>
          <w:rFonts w:ascii="Arial" w:hAnsi="Arial" w:cs="Arial"/>
          <w:i/>
          <w:iCs/>
        </w:rPr>
      </w:pPr>
    </w:p>
    <w:p w:rsidR="00B547DE" w:rsidRPr="00B547DE" w:rsidRDefault="00B547DE" w:rsidP="00B547DE">
      <w:pPr>
        <w:jc w:val="both"/>
        <w:rPr>
          <w:rFonts w:ascii="Arial" w:hAnsi="Arial" w:cs="Arial"/>
          <w:i/>
          <w:iCs/>
        </w:rPr>
      </w:pPr>
      <w:r w:rsidRPr="00B547DE">
        <w:rPr>
          <w:rFonts w:ascii="Arial" w:hAnsi="Arial" w:cs="Arial"/>
          <w:i/>
          <w:iCs/>
        </w:rPr>
        <w:t>Ahora bien, con base en la historia normativa a que se ha hecho referencia, la Sección Cuarta del Consejo de Estado, en sentencia de 24 de</w:t>
      </w:r>
      <w:r>
        <w:rPr>
          <w:rFonts w:ascii="Arial" w:hAnsi="Arial" w:cs="Arial"/>
          <w:i/>
          <w:iCs/>
        </w:rPr>
        <w:t xml:space="preserve"> </w:t>
      </w:r>
      <w:r w:rsidRPr="00B547DE">
        <w:rPr>
          <w:rFonts w:ascii="Arial" w:hAnsi="Arial" w:cs="Arial"/>
          <w:i/>
          <w:iCs/>
        </w:rPr>
        <w:t>febrero de 1994, concluyó que el impuesto predial era un gravamen inherente a la propiedad privada y que, por tanto, no cobijaba los</w:t>
      </w:r>
      <w:r>
        <w:rPr>
          <w:rFonts w:ascii="Arial" w:hAnsi="Arial" w:cs="Arial"/>
          <w:i/>
          <w:iCs/>
        </w:rPr>
        <w:t xml:space="preserve"> </w:t>
      </w:r>
      <w:r w:rsidRPr="00B547DE">
        <w:rPr>
          <w:rFonts w:ascii="Arial" w:hAnsi="Arial" w:cs="Arial"/>
          <w:i/>
          <w:iCs/>
        </w:rPr>
        <w:t>bienes inmuebles de la generalidad de entidades públicas</w:t>
      </w:r>
      <w:r>
        <w:rPr>
          <w:rFonts w:ascii="Arial" w:hAnsi="Arial" w:cs="Arial"/>
          <w:i/>
          <w:iCs/>
        </w:rPr>
        <w:t>.</w:t>
      </w:r>
    </w:p>
    <w:p w:rsidR="009632F3" w:rsidRPr="00B547DE" w:rsidRDefault="009632F3">
      <w:pPr>
        <w:rPr>
          <w:rFonts w:ascii="Arial" w:hAnsi="Arial" w:cs="Arial"/>
          <w:sz w:val="22"/>
          <w:szCs w:val="22"/>
        </w:rPr>
      </w:pPr>
    </w:p>
    <w:p w:rsidR="00B547DE" w:rsidRDefault="00B547DE" w:rsidP="00783765">
      <w:pPr>
        <w:jc w:val="both"/>
        <w:rPr>
          <w:rFonts w:ascii="Arial" w:hAnsi="Arial" w:cs="Arial"/>
          <w:szCs w:val="22"/>
        </w:rPr>
      </w:pPr>
      <w:r w:rsidRPr="00B547DE">
        <w:rPr>
          <w:rFonts w:ascii="Arial" w:hAnsi="Arial" w:cs="Arial"/>
          <w:szCs w:val="22"/>
        </w:rPr>
        <w:t>Esta doctrina, que es a la que alude el organismo consultante, ha sido reiterada en fallos posteriores de la misma Sección Cuarta del</w:t>
      </w:r>
      <w:r>
        <w:rPr>
          <w:rFonts w:ascii="Arial" w:hAnsi="Arial" w:cs="Arial"/>
          <w:szCs w:val="22"/>
        </w:rPr>
        <w:t xml:space="preserve"> </w:t>
      </w:r>
      <w:r w:rsidRPr="00B547DE">
        <w:rPr>
          <w:rFonts w:ascii="Arial" w:hAnsi="Arial" w:cs="Arial"/>
          <w:szCs w:val="22"/>
        </w:rPr>
        <w:t>Consejo de Estado, en los que se ha señalado además que “sólo con la expedición de la Ley 55 de 1985, el legislador dispuso que los bienes</w:t>
      </w:r>
      <w:r>
        <w:rPr>
          <w:rFonts w:ascii="Arial" w:hAnsi="Arial" w:cs="Arial"/>
          <w:szCs w:val="22"/>
        </w:rPr>
        <w:t xml:space="preserve"> </w:t>
      </w:r>
      <w:r w:rsidRPr="00B547DE">
        <w:rPr>
          <w:rFonts w:ascii="Arial" w:hAnsi="Arial" w:cs="Arial"/>
          <w:szCs w:val="22"/>
        </w:rPr>
        <w:t>inmuebles de propiedad de los establecimientos públicos, empresas industriales y comerciales del Estado y sociedades de economía mixta</w:t>
      </w:r>
      <w:r>
        <w:rPr>
          <w:rFonts w:ascii="Arial" w:hAnsi="Arial" w:cs="Arial"/>
          <w:szCs w:val="22"/>
        </w:rPr>
        <w:t xml:space="preserve"> </w:t>
      </w:r>
      <w:r w:rsidRPr="00B547DE">
        <w:rPr>
          <w:rFonts w:ascii="Arial" w:hAnsi="Arial" w:cs="Arial"/>
          <w:szCs w:val="22"/>
        </w:rPr>
        <w:t xml:space="preserve">del orden nacional, podían ser gravados con el impuesto predial a favor del correspondiente municipio” </w:t>
      </w:r>
    </w:p>
    <w:p w:rsidR="00B547DE" w:rsidRDefault="00B547DE" w:rsidP="00B547DE">
      <w:pPr>
        <w:rPr>
          <w:rFonts w:ascii="Arial" w:hAnsi="Arial" w:cs="Arial"/>
          <w:szCs w:val="22"/>
        </w:rPr>
      </w:pPr>
    </w:p>
    <w:p w:rsidR="00B547DE" w:rsidRDefault="00B547DE" w:rsidP="00B547DE">
      <w:pPr>
        <w:rPr>
          <w:rFonts w:ascii="Arial" w:hAnsi="Arial" w:cs="Arial"/>
          <w:szCs w:val="22"/>
        </w:rPr>
      </w:pPr>
      <w:r w:rsidRPr="00B547DE">
        <w:rPr>
          <w:rFonts w:ascii="Arial" w:hAnsi="Arial" w:cs="Arial"/>
          <w:szCs w:val="22"/>
        </w:rPr>
        <w:t>así se concluyó que:</w:t>
      </w:r>
    </w:p>
    <w:p w:rsidR="00B547DE" w:rsidRPr="00B547DE" w:rsidRDefault="00B547DE" w:rsidP="00B547DE">
      <w:pPr>
        <w:rPr>
          <w:rFonts w:ascii="Arial" w:hAnsi="Arial" w:cs="Arial"/>
          <w:szCs w:val="22"/>
        </w:rPr>
      </w:pPr>
    </w:p>
    <w:p w:rsidR="00B547DE" w:rsidRPr="00B547DE" w:rsidRDefault="00B547DE" w:rsidP="00783765">
      <w:pPr>
        <w:jc w:val="both"/>
        <w:rPr>
          <w:rFonts w:ascii="Arial" w:hAnsi="Arial" w:cs="Arial"/>
          <w:szCs w:val="22"/>
        </w:rPr>
      </w:pPr>
      <w:r w:rsidRPr="00B547DE">
        <w:rPr>
          <w:rFonts w:ascii="Arial" w:hAnsi="Arial" w:cs="Arial"/>
          <w:szCs w:val="22"/>
        </w:rPr>
        <w:t>“Sólo los particulares propietarios de bienes inmuebles y los establecimientos públicos, empresas industriales y comerciales del Estado, y</w:t>
      </w:r>
      <w:r w:rsidR="00783765">
        <w:rPr>
          <w:rFonts w:ascii="Arial" w:hAnsi="Arial" w:cs="Arial"/>
          <w:szCs w:val="22"/>
        </w:rPr>
        <w:t xml:space="preserve"> </w:t>
      </w:r>
      <w:r w:rsidRPr="00B547DE">
        <w:rPr>
          <w:rFonts w:ascii="Arial" w:hAnsi="Arial" w:cs="Arial"/>
          <w:szCs w:val="22"/>
        </w:rPr>
        <w:t>sociedades de economía mixta del orden nacional son sujetos pasivos del impuesto, sin que dentro de éstos se encuentren incluidas las</w:t>
      </w:r>
      <w:r w:rsidR="00783765">
        <w:rPr>
          <w:rFonts w:ascii="Arial" w:hAnsi="Arial" w:cs="Arial"/>
          <w:szCs w:val="22"/>
        </w:rPr>
        <w:t xml:space="preserve"> </w:t>
      </w:r>
      <w:r w:rsidRPr="00B547DE">
        <w:rPr>
          <w:rFonts w:ascii="Arial" w:hAnsi="Arial" w:cs="Arial"/>
          <w:szCs w:val="22"/>
        </w:rPr>
        <w:t>demás entidades públicas diferentes a las señaladas, por cuanto no fue voluntad del legislador que sobre ellas recayera la obligación</w:t>
      </w:r>
    </w:p>
    <w:p w:rsidR="00B547DE" w:rsidRDefault="00B547DE" w:rsidP="00783765">
      <w:pPr>
        <w:jc w:val="both"/>
        <w:rPr>
          <w:rFonts w:ascii="Arial" w:hAnsi="Arial" w:cs="Arial"/>
          <w:szCs w:val="22"/>
        </w:rPr>
      </w:pPr>
      <w:r w:rsidRPr="00B547DE">
        <w:rPr>
          <w:rFonts w:ascii="Arial" w:hAnsi="Arial" w:cs="Arial"/>
          <w:szCs w:val="22"/>
        </w:rPr>
        <w:t>tributaria.”</w:t>
      </w:r>
    </w:p>
    <w:p w:rsidR="00B547DE" w:rsidRDefault="00B547DE" w:rsidP="00783765">
      <w:pPr>
        <w:jc w:val="both"/>
        <w:rPr>
          <w:rFonts w:ascii="Arial" w:hAnsi="Arial" w:cs="Arial"/>
          <w:szCs w:val="22"/>
        </w:rPr>
      </w:pPr>
    </w:p>
    <w:p w:rsidR="00B547DE" w:rsidRDefault="00B547DE" w:rsidP="00783765">
      <w:pPr>
        <w:jc w:val="both"/>
        <w:rPr>
          <w:rFonts w:ascii="Arial" w:hAnsi="Arial" w:cs="Arial"/>
          <w:szCs w:val="22"/>
        </w:rPr>
      </w:pPr>
      <w:r w:rsidRPr="00B547DE">
        <w:rPr>
          <w:rFonts w:ascii="Arial" w:hAnsi="Arial" w:cs="Arial"/>
          <w:szCs w:val="22"/>
        </w:rPr>
        <w:t>Sin embargo, la Sala considera que la línea jurisprudencial trazada por la Sección Cuarta del Consejo de Estado debe entenderse en el</w:t>
      </w:r>
      <w:r>
        <w:rPr>
          <w:rFonts w:ascii="Arial" w:hAnsi="Arial" w:cs="Arial"/>
          <w:szCs w:val="22"/>
        </w:rPr>
        <w:t xml:space="preserve"> </w:t>
      </w:r>
      <w:r w:rsidRPr="00B547DE">
        <w:rPr>
          <w:rFonts w:ascii="Arial" w:hAnsi="Arial" w:cs="Arial"/>
          <w:szCs w:val="22"/>
        </w:rPr>
        <w:t>contexto en que la misma se ha producido: la imposibilidad de gravar con el impuesto predial los bienes de uso público.</w:t>
      </w:r>
    </w:p>
    <w:p w:rsidR="00B547DE" w:rsidRDefault="00B547DE" w:rsidP="00783765">
      <w:pPr>
        <w:jc w:val="both"/>
        <w:rPr>
          <w:rFonts w:ascii="Arial" w:hAnsi="Arial" w:cs="Arial"/>
          <w:szCs w:val="22"/>
        </w:rPr>
      </w:pPr>
    </w:p>
    <w:p w:rsidR="00B547DE" w:rsidRPr="00B547DE" w:rsidRDefault="00B547DE" w:rsidP="00783765">
      <w:pPr>
        <w:jc w:val="both"/>
        <w:rPr>
          <w:rFonts w:ascii="Arial" w:hAnsi="Arial" w:cs="Arial"/>
          <w:szCs w:val="22"/>
        </w:rPr>
      </w:pPr>
      <w:r w:rsidRPr="00B547DE">
        <w:rPr>
          <w:rFonts w:ascii="Arial" w:hAnsi="Arial" w:cs="Arial"/>
          <w:szCs w:val="22"/>
        </w:rPr>
        <w:t xml:space="preserve"> En estos casos, al</w:t>
      </w:r>
      <w:r>
        <w:rPr>
          <w:rFonts w:ascii="Arial" w:hAnsi="Arial" w:cs="Arial"/>
          <w:szCs w:val="22"/>
        </w:rPr>
        <w:t xml:space="preserve"> </w:t>
      </w:r>
      <w:r w:rsidRPr="00B547DE">
        <w:rPr>
          <w:rFonts w:ascii="Arial" w:hAnsi="Arial" w:cs="Arial"/>
          <w:szCs w:val="22"/>
        </w:rPr>
        <w:t>tratarse de bienes pertenecientes a todos los habitantes del territorio (artículo 674 C.C), no hay en estricto sentido un derecho de dominio o</w:t>
      </w:r>
    </w:p>
    <w:p w:rsidR="00B547DE" w:rsidRPr="00B547DE" w:rsidRDefault="00B547DE" w:rsidP="00783765">
      <w:pPr>
        <w:jc w:val="both"/>
        <w:rPr>
          <w:rFonts w:ascii="Arial" w:hAnsi="Arial" w:cs="Arial"/>
          <w:szCs w:val="22"/>
        </w:rPr>
      </w:pPr>
      <w:r w:rsidRPr="00B547DE">
        <w:rPr>
          <w:rFonts w:ascii="Arial" w:hAnsi="Arial" w:cs="Arial"/>
          <w:szCs w:val="22"/>
        </w:rPr>
        <w:t>propiedad en cabeza de las entidades públicas que los tienen a su cargo, lo que desvirtúa el hecho gravable que da origen al tributo. Así, en</w:t>
      </w:r>
      <w:r>
        <w:rPr>
          <w:rFonts w:ascii="Arial" w:hAnsi="Arial" w:cs="Arial"/>
          <w:szCs w:val="22"/>
        </w:rPr>
        <w:t xml:space="preserve"> </w:t>
      </w:r>
      <w:r w:rsidRPr="00B547DE">
        <w:rPr>
          <w:rFonts w:ascii="Arial" w:hAnsi="Arial" w:cs="Arial"/>
          <w:szCs w:val="22"/>
        </w:rPr>
        <w:t>las mismas sentencias que trae a colación el organismo consultante se ha señalado:</w:t>
      </w:r>
    </w:p>
    <w:p w:rsidR="00B547DE" w:rsidRDefault="00B547DE" w:rsidP="00783765">
      <w:pPr>
        <w:jc w:val="both"/>
        <w:rPr>
          <w:rFonts w:ascii="Arial" w:hAnsi="Arial" w:cs="Arial"/>
          <w:szCs w:val="22"/>
        </w:rPr>
      </w:pPr>
      <w:r w:rsidRPr="00B547DE">
        <w:rPr>
          <w:rFonts w:ascii="Arial" w:hAnsi="Arial" w:cs="Arial"/>
          <w:szCs w:val="22"/>
        </w:rPr>
        <w:t xml:space="preserve">“No obstante, los aeropuertos, en general, son bienes de uso público, que no se </w:t>
      </w:r>
      <w:r w:rsidRPr="00B547DE">
        <w:rPr>
          <w:rFonts w:ascii="Arial" w:hAnsi="Arial" w:cs="Arial"/>
          <w:szCs w:val="22"/>
        </w:rPr>
        <w:lastRenderedPageBreak/>
        <w:t>encuentran gravados con el impuesto predial, puesto que</w:t>
      </w:r>
      <w:r>
        <w:rPr>
          <w:rFonts w:ascii="Arial" w:hAnsi="Arial" w:cs="Arial"/>
          <w:szCs w:val="22"/>
        </w:rPr>
        <w:t xml:space="preserve"> </w:t>
      </w:r>
      <w:r w:rsidRPr="00B547DE">
        <w:rPr>
          <w:rFonts w:ascii="Arial" w:hAnsi="Arial" w:cs="Arial"/>
          <w:szCs w:val="22"/>
        </w:rPr>
        <w:t>su uso pertenece a todos los habitantes del territorio (artículo 674 del Código Civil). Lo anterior, porque los aeródromos públicos, que son las</w:t>
      </w:r>
      <w:r>
        <w:rPr>
          <w:rFonts w:ascii="Arial" w:hAnsi="Arial" w:cs="Arial"/>
          <w:szCs w:val="22"/>
        </w:rPr>
        <w:t xml:space="preserve"> </w:t>
      </w:r>
      <w:r w:rsidRPr="00B547DE">
        <w:rPr>
          <w:rFonts w:ascii="Arial" w:hAnsi="Arial" w:cs="Arial"/>
          <w:szCs w:val="22"/>
        </w:rPr>
        <w:t>superficies destinadas a la llegada y salida de aeronaves (artículo 1809 del Código de Comercio), son para uso público (artículo 1811</w:t>
      </w:r>
      <w:r>
        <w:rPr>
          <w:rFonts w:ascii="Arial" w:hAnsi="Arial" w:cs="Arial"/>
          <w:szCs w:val="22"/>
        </w:rPr>
        <w:t xml:space="preserve"> </w:t>
      </w:r>
      <w:proofErr w:type="spellStart"/>
      <w:r w:rsidRPr="00B547DE">
        <w:rPr>
          <w:rFonts w:ascii="Arial" w:hAnsi="Arial" w:cs="Arial"/>
          <w:szCs w:val="22"/>
        </w:rPr>
        <w:t>ibídem</w:t>
      </w:r>
      <w:proofErr w:type="spellEnd"/>
      <w:r w:rsidRPr="00B547DE">
        <w:rPr>
          <w:rFonts w:ascii="Arial" w:hAnsi="Arial" w:cs="Arial"/>
          <w:szCs w:val="22"/>
        </w:rPr>
        <w:t>). Además, el transporte aéreo es un servicio público esencial (artículo 68 de la Ley 336 de 1996)</w:t>
      </w:r>
      <w:r>
        <w:rPr>
          <w:rFonts w:ascii="Arial" w:hAnsi="Arial" w:cs="Arial"/>
          <w:szCs w:val="22"/>
        </w:rPr>
        <w:t>.</w:t>
      </w:r>
    </w:p>
    <w:p w:rsidR="00B547DE" w:rsidRDefault="00B547DE" w:rsidP="00783765">
      <w:pPr>
        <w:jc w:val="both"/>
        <w:rPr>
          <w:rFonts w:ascii="Arial" w:hAnsi="Arial" w:cs="Arial"/>
          <w:szCs w:val="22"/>
        </w:rPr>
      </w:pPr>
    </w:p>
    <w:p w:rsidR="00B547DE" w:rsidRDefault="00B547DE" w:rsidP="00783765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Para resolver tal interrogante del problema jurídico se define dentro de esta providencia que es un bien de uso público así:</w:t>
      </w:r>
    </w:p>
    <w:p w:rsidR="00B547DE" w:rsidRDefault="00B547DE" w:rsidP="00783765">
      <w:pPr>
        <w:jc w:val="both"/>
        <w:rPr>
          <w:rFonts w:ascii="Arial" w:hAnsi="Arial" w:cs="Arial"/>
          <w:szCs w:val="22"/>
        </w:rPr>
      </w:pPr>
    </w:p>
    <w:p w:rsidR="00B547DE" w:rsidRDefault="00B547DE" w:rsidP="00783765">
      <w:pPr>
        <w:ind w:lef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“</w:t>
      </w:r>
      <w:r w:rsidRPr="00B547DE">
        <w:rPr>
          <w:rFonts w:ascii="Arial" w:hAnsi="Arial" w:cs="Arial"/>
          <w:szCs w:val="22"/>
        </w:rPr>
        <w:t>son aquellos de propiedad pública, administrados por el sujeto público titular del derecho de dominio para el uso y</w:t>
      </w:r>
      <w:r>
        <w:rPr>
          <w:rFonts w:ascii="Arial" w:hAnsi="Arial" w:cs="Arial"/>
          <w:szCs w:val="22"/>
        </w:rPr>
        <w:t xml:space="preserve"> </w:t>
      </w:r>
      <w:r w:rsidRPr="00B547DE">
        <w:rPr>
          <w:rFonts w:ascii="Arial" w:hAnsi="Arial" w:cs="Arial"/>
          <w:szCs w:val="22"/>
        </w:rPr>
        <w:t xml:space="preserve">goce de la comunidad. </w:t>
      </w:r>
    </w:p>
    <w:p w:rsidR="00B547DE" w:rsidRDefault="00B547DE" w:rsidP="00783765">
      <w:pPr>
        <w:ind w:left="709"/>
        <w:jc w:val="both"/>
        <w:rPr>
          <w:rFonts w:ascii="Arial" w:hAnsi="Arial" w:cs="Arial"/>
          <w:szCs w:val="22"/>
        </w:rPr>
      </w:pPr>
      <w:r w:rsidRPr="00B547DE">
        <w:rPr>
          <w:rFonts w:ascii="Arial" w:hAnsi="Arial" w:cs="Arial"/>
          <w:szCs w:val="22"/>
        </w:rPr>
        <w:t>Tales bienes están sometidos a un régimen jurídico especial, se encuentran por fuera del comercio en consideración</w:t>
      </w:r>
      <w:r>
        <w:rPr>
          <w:rFonts w:ascii="Arial" w:hAnsi="Arial" w:cs="Arial"/>
          <w:szCs w:val="22"/>
        </w:rPr>
        <w:t xml:space="preserve"> </w:t>
      </w:r>
      <w:r w:rsidRPr="00B547DE">
        <w:rPr>
          <w:rFonts w:ascii="Arial" w:hAnsi="Arial" w:cs="Arial"/>
          <w:szCs w:val="22"/>
        </w:rPr>
        <w:t>a la utilidad que prestan en beneficio común, y son inalienables, inembargables e imprescriptibles por disposición constitucional (artículo 63</w:t>
      </w:r>
      <w:r>
        <w:rPr>
          <w:rFonts w:ascii="Arial" w:hAnsi="Arial" w:cs="Arial"/>
          <w:szCs w:val="22"/>
        </w:rPr>
        <w:t xml:space="preserve"> </w:t>
      </w:r>
      <w:r w:rsidRPr="00B547DE">
        <w:rPr>
          <w:rFonts w:ascii="Arial" w:hAnsi="Arial" w:cs="Arial"/>
          <w:szCs w:val="22"/>
        </w:rPr>
        <w:t>de la Carta)</w:t>
      </w:r>
      <w:r>
        <w:rPr>
          <w:rFonts w:ascii="Arial" w:hAnsi="Arial" w:cs="Arial"/>
          <w:szCs w:val="22"/>
        </w:rPr>
        <w:t>”</w:t>
      </w:r>
      <w:r w:rsidRPr="00B547DE">
        <w:rPr>
          <w:rFonts w:ascii="Arial" w:hAnsi="Arial" w:cs="Arial"/>
          <w:szCs w:val="22"/>
        </w:rPr>
        <w:t>.</w:t>
      </w:r>
    </w:p>
    <w:p w:rsidR="00B547DE" w:rsidRPr="00B547DE" w:rsidRDefault="00B547DE" w:rsidP="00783765">
      <w:pPr>
        <w:ind w:left="709"/>
        <w:jc w:val="both"/>
        <w:rPr>
          <w:rFonts w:ascii="Arial" w:hAnsi="Arial" w:cs="Arial"/>
          <w:szCs w:val="22"/>
        </w:rPr>
      </w:pPr>
    </w:p>
    <w:p w:rsidR="00B547DE" w:rsidRDefault="00B547DE" w:rsidP="00783765">
      <w:pPr>
        <w:jc w:val="both"/>
        <w:rPr>
          <w:rFonts w:ascii="Arial" w:hAnsi="Arial" w:cs="Arial"/>
          <w:szCs w:val="22"/>
        </w:rPr>
      </w:pPr>
      <w:r w:rsidRPr="00B547DE">
        <w:rPr>
          <w:rFonts w:ascii="Arial" w:hAnsi="Arial" w:cs="Arial"/>
          <w:szCs w:val="22"/>
        </w:rPr>
        <w:t>El ser inajenables se refiere a la imposibilidad de que exista alguna mutación del dominio o de sus elementos esenciales, pues tales</w:t>
      </w:r>
      <w:r>
        <w:rPr>
          <w:rFonts w:ascii="Arial" w:hAnsi="Arial" w:cs="Arial"/>
          <w:szCs w:val="22"/>
        </w:rPr>
        <w:t xml:space="preserve"> </w:t>
      </w:r>
      <w:r w:rsidRPr="00B547DE">
        <w:rPr>
          <w:rFonts w:ascii="Arial" w:hAnsi="Arial" w:cs="Arial"/>
          <w:szCs w:val="22"/>
        </w:rPr>
        <w:t>bienes están destinados al uso público; y es natural que no puedan celebrarse actos que atenten contra ese uso común.</w:t>
      </w:r>
    </w:p>
    <w:p w:rsidR="00B547DE" w:rsidRDefault="00B547DE" w:rsidP="00783765">
      <w:pPr>
        <w:jc w:val="both"/>
        <w:rPr>
          <w:rFonts w:ascii="Arial" w:hAnsi="Arial" w:cs="Arial"/>
          <w:szCs w:val="22"/>
        </w:rPr>
      </w:pPr>
    </w:p>
    <w:p w:rsidR="00B547DE" w:rsidRDefault="00B547DE" w:rsidP="00783765">
      <w:pPr>
        <w:jc w:val="both"/>
        <w:rPr>
          <w:rFonts w:ascii="Arial" w:hAnsi="Arial" w:cs="Arial"/>
          <w:szCs w:val="22"/>
        </w:rPr>
      </w:pPr>
      <w:r w:rsidRPr="00B547DE">
        <w:rPr>
          <w:rFonts w:ascii="Arial" w:hAnsi="Arial" w:cs="Arial"/>
          <w:szCs w:val="22"/>
        </w:rPr>
        <w:t>La</w:t>
      </w:r>
      <w:r>
        <w:rPr>
          <w:rFonts w:ascii="Arial" w:hAnsi="Arial" w:cs="Arial"/>
          <w:szCs w:val="22"/>
        </w:rPr>
        <w:t xml:space="preserve"> </w:t>
      </w:r>
      <w:r w:rsidRPr="00B547DE">
        <w:rPr>
          <w:rFonts w:ascii="Arial" w:hAnsi="Arial" w:cs="Arial"/>
          <w:szCs w:val="22"/>
        </w:rPr>
        <w:t>inembargabilidad, que se desprende de la inalienabilidad, significa que los bienes de uso público no pueden ser objeto de embargos. Y, la</w:t>
      </w:r>
      <w:r>
        <w:rPr>
          <w:rFonts w:ascii="Arial" w:hAnsi="Arial" w:cs="Arial"/>
          <w:szCs w:val="22"/>
        </w:rPr>
        <w:t xml:space="preserve"> </w:t>
      </w:r>
      <w:r w:rsidRPr="00B547DE">
        <w:rPr>
          <w:rFonts w:ascii="Arial" w:hAnsi="Arial" w:cs="Arial"/>
          <w:szCs w:val="22"/>
        </w:rPr>
        <w:t>imprescriptibilidad, por su parte, se debe a que la prescripción reposa en la posesión y ésta, a su vez, en la exclusividad. “Y mal puede</w:t>
      </w:r>
      <w:r>
        <w:rPr>
          <w:rFonts w:ascii="Arial" w:hAnsi="Arial" w:cs="Arial"/>
          <w:szCs w:val="22"/>
        </w:rPr>
        <w:t xml:space="preserve"> </w:t>
      </w:r>
      <w:r w:rsidRPr="00B547DE">
        <w:rPr>
          <w:rFonts w:ascii="Arial" w:hAnsi="Arial" w:cs="Arial"/>
          <w:szCs w:val="22"/>
        </w:rPr>
        <w:t>coexistir una posesión exclusiva de una persona con el uso común de todos”</w:t>
      </w:r>
    </w:p>
    <w:p w:rsidR="00B547DE" w:rsidRDefault="00B547DE" w:rsidP="00783765">
      <w:pPr>
        <w:jc w:val="both"/>
        <w:rPr>
          <w:rFonts w:ascii="Arial" w:hAnsi="Arial" w:cs="Arial"/>
          <w:szCs w:val="22"/>
        </w:rPr>
      </w:pPr>
    </w:p>
    <w:p w:rsidR="00B547DE" w:rsidRDefault="00B547DE" w:rsidP="00783765">
      <w:pPr>
        <w:jc w:val="both"/>
        <w:rPr>
          <w:rFonts w:ascii="Arial" w:hAnsi="Arial" w:cs="Arial"/>
          <w:szCs w:val="22"/>
        </w:rPr>
      </w:pPr>
      <w:r w:rsidRPr="00B547DE">
        <w:rPr>
          <w:rFonts w:ascii="Arial" w:hAnsi="Arial" w:cs="Arial"/>
          <w:szCs w:val="22"/>
        </w:rPr>
        <w:t>De este modo, la exclusión del impuesto predial está ligada a un elemento adicional a la simple titularidad pública del bien, como es el</w:t>
      </w:r>
      <w:r>
        <w:rPr>
          <w:rFonts w:ascii="Arial" w:hAnsi="Arial" w:cs="Arial"/>
          <w:szCs w:val="22"/>
        </w:rPr>
        <w:t xml:space="preserve"> </w:t>
      </w:r>
      <w:r w:rsidRPr="00B547DE">
        <w:rPr>
          <w:rFonts w:ascii="Arial" w:hAnsi="Arial" w:cs="Arial"/>
          <w:szCs w:val="22"/>
        </w:rPr>
        <w:t>hecho de que se trate de bienes de uso público; en particular, la doctrina fijada por la Sección Cuarta del Consejo de Estado en la sentencia</w:t>
      </w:r>
      <w:r>
        <w:rPr>
          <w:rFonts w:ascii="Arial" w:hAnsi="Arial" w:cs="Arial"/>
          <w:szCs w:val="22"/>
        </w:rPr>
        <w:t xml:space="preserve"> </w:t>
      </w:r>
      <w:r w:rsidRPr="00B547DE">
        <w:rPr>
          <w:rFonts w:ascii="Arial" w:hAnsi="Arial" w:cs="Arial"/>
          <w:szCs w:val="22"/>
        </w:rPr>
        <w:t>del 24 de febrero de 1994 y las que posteriormente la han reiterado, se ocupó de manera específica de la situación de los aeropuertos</w:t>
      </w:r>
      <w:r>
        <w:rPr>
          <w:rFonts w:ascii="Arial" w:hAnsi="Arial" w:cs="Arial"/>
          <w:szCs w:val="22"/>
        </w:rPr>
        <w:t xml:space="preserve"> </w:t>
      </w:r>
      <w:r w:rsidRPr="00B547DE">
        <w:rPr>
          <w:rFonts w:ascii="Arial" w:hAnsi="Arial" w:cs="Arial"/>
          <w:szCs w:val="22"/>
        </w:rPr>
        <w:t xml:space="preserve">administrados por la </w:t>
      </w:r>
      <w:r w:rsidRPr="00B547DE">
        <w:rPr>
          <w:rFonts w:ascii="Arial" w:hAnsi="Arial" w:cs="Arial"/>
          <w:b/>
          <w:i/>
          <w:szCs w:val="22"/>
          <w:u w:val="single"/>
        </w:rPr>
        <w:t>aeronáutica civil</w:t>
      </w:r>
      <w:r w:rsidRPr="00B547DE">
        <w:rPr>
          <w:rFonts w:ascii="Arial" w:hAnsi="Arial" w:cs="Arial"/>
          <w:szCs w:val="22"/>
        </w:rPr>
        <w:t>, los cuales, en su condición de bienes de uso público de la Nación, excluyen la posibilidad de ser</w:t>
      </w:r>
      <w:r>
        <w:rPr>
          <w:rFonts w:ascii="Arial" w:hAnsi="Arial" w:cs="Arial"/>
          <w:szCs w:val="22"/>
        </w:rPr>
        <w:t xml:space="preserve"> </w:t>
      </w:r>
      <w:r w:rsidRPr="00B547DE">
        <w:rPr>
          <w:rFonts w:ascii="Arial" w:hAnsi="Arial" w:cs="Arial"/>
          <w:szCs w:val="22"/>
        </w:rPr>
        <w:t>gravados con el impuesto predial.</w:t>
      </w:r>
    </w:p>
    <w:p w:rsidR="00B547DE" w:rsidRDefault="00B547DE" w:rsidP="00783765">
      <w:pPr>
        <w:jc w:val="both"/>
        <w:rPr>
          <w:rFonts w:ascii="Arial" w:hAnsi="Arial" w:cs="Arial"/>
          <w:szCs w:val="22"/>
        </w:rPr>
      </w:pPr>
    </w:p>
    <w:p w:rsidR="00B547DE" w:rsidRDefault="00B547DE" w:rsidP="00783765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De esta manera resolviendo que para el caso que nos ocupa si son de beneficiarios del régimen tributario las entidades p</w:t>
      </w:r>
      <w:r w:rsidR="00783765">
        <w:rPr>
          <w:rFonts w:ascii="Arial" w:hAnsi="Arial" w:cs="Arial"/>
          <w:szCs w:val="22"/>
        </w:rPr>
        <w:t>ú</w:t>
      </w:r>
      <w:r>
        <w:rPr>
          <w:rFonts w:ascii="Arial" w:hAnsi="Arial" w:cs="Arial"/>
          <w:szCs w:val="22"/>
        </w:rPr>
        <w:t>blicas.</w:t>
      </w:r>
    </w:p>
    <w:p w:rsidR="00B547DE" w:rsidRPr="00B547DE" w:rsidRDefault="00B547DE" w:rsidP="00783765">
      <w:pPr>
        <w:jc w:val="both"/>
        <w:rPr>
          <w:rFonts w:ascii="Arial" w:hAnsi="Arial" w:cs="Arial"/>
          <w:szCs w:val="22"/>
        </w:rPr>
      </w:pPr>
    </w:p>
    <w:sectPr w:rsidR="00B547DE" w:rsidRPr="00B547DE" w:rsidSect="0074722E">
      <w:headerReference w:type="default" r:id="rId7"/>
      <w:footerReference w:type="default" r:id="rId8"/>
      <w:pgSz w:w="11906" w:h="16838"/>
      <w:pgMar w:top="1701" w:right="1701" w:bottom="170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8EE" w:rsidRDefault="009E58EE" w:rsidP="004454BB">
      <w:r>
        <w:separator/>
      </w:r>
    </w:p>
  </w:endnote>
  <w:endnote w:type="continuationSeparator" w:id="0">
    <w:p w:rsidR="009E58EE" w:rsidRDefault="009E58EE" w:rsidP="0044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91C" w:rsidRPr="00A96716" w:rsidRDefault="00CD091C" w:rsidP="004454BB">
    <w:pPr>
      <w:pStyle w:val="Piedepgina"/>
      <w:tabs>
        <w:tab w:val="clear" w:pos="8504"/>
        <w:tab w:val="right" w:pos="9540"/>
      </w:tabs>
      <w:jc w:val="right"/>
      <w:rPr>
        <w:rFonts w:ascii="Arial" w:hAnsi="Arial" w:cs="Arial"/>
        <w:b/>
        <w:sz w:val="16"/>
        <w:szCs w:val="16"/>
      </w:rPr>
    </w:pPr>
    <w:r w:rsidRPr="00A96716">
      <w:rPr>
        <w:rFonts w:ascii="Arial" w:hAnsi="Arial" w:cs="Arial"/>
        <w:b/>
        <w:sz w:val="16"/>
        <w:szCs w:val="16"/>
      </w:rPr>
      <w:t>Clave: GDIR-3.0-12-</w:t>
    </w:r>
    <w:r>
      <w:rPr>
        <w:rFonts w:ascii="Arial" w:hAnsi="Arial" w:cs="Arial"/>
        <w:b/>
        <w:sz w:val="16"/>
        <w:szCs w:val="16"/>
      </w:rPr>
      <w:t>06</w:t>
    </w:r>
  </w:p>
  <w:p w:rsidR="00CD091C" w:rsidRPr="00A96716" w:rsidRDefault="00CD091C" w:rsidP="004454BB">
    <w:pPr>
      <w:pStyle w:val="Piedepgina"/>
      <w:tabs>
        <w:tab w:val="clear" w:pos="8504"/>
        <w:tab w:val="right" w:pos="9540"/>
      </w:tabs>
      <w:jc w:val="right"/>
      <w:rPr>
        <w:rFonts w:ascii="Arial" w:hAnsi="Arial" w:cs="Arial"/>
        <w:b/>
        <w:sz w:val="16"/>
        <w:szCs w:val="16"/>
      </w:rPr>
    </w:pPr>
    <w:r w:rsidRPr="00A96716">
      <w:rPr>
        <w:rFonts w:ascii="Arial" w:hAnsi="Arial" w:cs="Arial"/>
        <w:b/>
        <w:sz w:val="16"/>
        <w:szCs w:val="16"/>
      </w:rPr>
      <w:t>Versión: 01</w:t>
    </w:r>
  </w:p>
  <w:p w:rsidR="00CD091C" w:rsidRPr="00A96716" w:rsidRDefault="00CD091C" w:rsidP="004454BB">
    <w:pPr>
      <w:tabs>
        <w:tab w:val="right" w:pos="9540"/>
      </w:tabs>
      <w:ind w:firstLine="708"/>
      <w:jc w:val="right"/>
      <w:rPr>
        <w:rFonts w:ascii="Arial" w:hAnsi="Arial" w:cs="Arial"/>
        <w:b/>
        <w:sz w:val="16"/>
        <w:szCs w:val="16"/>
      </w:rPr>
    </w:pPr>
    <w:r w:rsidRPr="00A96716">
      <w:rPr>
        <w:rFonts w:ascii="Arial" w:hAnsi="Arial" w:cs="Arial"/>
        <w:b/>
        <w:sz w:val="16"/>
        <w:szCs w:val="16"/>
      </w:rPr>
      <w:t xml:space="preserve">Fecha: </w:t>
    </w:r>
    <w:r>
      <w:rPr>
        <w:rFonts w:ascii="Arial" w:hAnsi="Arial" w:cs="Arial"/>
        <w:b/>
        <w:sz w:val="16"/>
        <w:szCs w:val="16"/>
      </w:rPr>
      <w:t>2</w:t>
    </w:r>
    <w:r w:rsidRPr="00A96716">
      <w:rPr>
        <w:rFonts w:ascii="Arial" w:hAnsi="Arial" w:cs="Arial"/>
        <w:b/>
        <w:sz w:val="16"/>
        <w:szCs w:val="16"/>
      </w:rPr>
      <w:t>0/09/2011</w:t>
    </w:r>
  </w:p>
  <w:p w:rsidR="00CD091C" w:rsidRPr="00E9550A" w:rsidRDefault="00CD091C" w:rsidP="004454BB">
    <w:pPr>
      <w:pStyle w:val="Piedepgina"/>
      <w:jc w:val="right"/>
      <w:rPr>
        <w:rStyle w:val="Nmerodepgina"/>
        <w:rFonts w:ascii="Arial" w:hAnsi="Arial" w:cs="Arial"/>
        <w:b/>
        <w:sz w:val="16"/>
        <w:szCs w:val="16"/>
      </w:rPr>
    </w:pPr>
    <w:r w:rsidRPr="00E9550A">
      <w:rPr>
        <w:rStyle w:val="Nmerodepgina"/>
        <w:rFonts w:ascii="Arial" w:hAnsi="Arial" w:cs="Arial"/>
        <w:b/>
        <w:sz w:val="16"/>
        <w:szCs w:val="16"/>
      </w:rPr>
      <w:t>Página:</w:t>
    </w:r>
    <w:r>
      <w:rPr>
        <w:rStyle w:val="Nmerodepgina"/>
        <w:rFonts w:ascii="Arial" w:hAnsi="Arial" w:cs="Arial"/>
        <w:b/>
        <w:sz w:val="16"/>
        <w:szCs w:val="16"/>
      </w:rPr>
      <w:t xml:space="preserve"> </w:t>
    </w:r>
    <w:r w:rsidRPr="00E9550A">
      <w:rPr>
        <w:rStyle w:val="Nmerodepgina"/>
        <w:rFonts w:ascii="Arial" w:hAnsi="Arial" w:cs="Arial"/>
        <w:b/>
        <w:sz w:val="16"/>
        <w:szCs w:val="16"/>
      </w:rPr>
      <w:fldChar w:fldCharType="begin"/>
    </w:r>
    <w:r w:rsidRPr="00E9550A">
      <w:rPr>
        <w:rStyle w:val="Nmerodepgina"/>
        <w:rFonts w:ascii="Arial" w:hAnsi="Arial" w:cs="Arial"/>
        <w:b/>
        <w:sz w:val="16"/>
        <w:szCs w:val="16"/>
      </w:rPr>
      <w:instrText xml:space="preserve"> PAGE </w:instrText>
    </w:r>
    <w:r w:rsidRPr="00E9550A">
      <w:rPr>
        <w:rStyle w:val="Nmerodepgina"/>
        <w:rFonts w:ascii="Arial" w:hAnsi="Arial" w:cs="Arial"/>
        <w:b/>
        <w:sz w:val="16"/>
        <w:szCs w:val="16"/>
      </w:rPr>
      <w:fldChar w:fldCharType="separate"/>
    </w:r>
    <w:r w:rsidR="00655134">
      <w:rPr>
        <w:rStyle w:val="Nmerodepgina"/>
        <w:rFonts w:ascii="Arial" w:hAnsi="Arial" w:cs="Arial"/>
        <w:b/>
        <w:noProof/>
        <w:sz w:val="16"/>
        <w:szCs w:val="16"/>
      </w:rPr>
      <w:t>1</w:t>
    </w:r>
    <w:r w:rsidRPr="00E9550A">
      <w:rPr>
        <w:rStyle w:val="Nmerodepgina"/>
        <w:rFonts w:ascii="Arial" w:hAnsi="Arial" w:cs="Arial"/>
        <w:b/>
        <w:sz w:val="16"/>
        <w:szCs w:val="16"/>
      </w:rPr>
      <w:fldChar w:fldCharType="end"/>
    </w:r>
    <w:r w:rsidRPr="00E9550A">
      <w:rPr>
        <w:rStyle w:val="Nmerodepgina"/>
        <w:rFonts w:ascii="Arial" w:hAnsi="Arial" w:cs="Arial"/>
        <w:b/>
        <w:sz w:val="16"/>
        <w:szCs w:val="16"/>
      </w:rPr>
      <w:t xml:space="preserve"> de </w:t>
    </w:r>
    <w:r w:rsidRPr="00E9550A">
      <w:rPr>
        <w:rStyle w:val="Nmerodepgina"/>
        <w:rFonts w:ascii="Arial" w:hAnsi="Arial" w:cs="Arial"/>
        <w:b/>
        <w:sz w:val="16"/>
        <w:szCs w:val="16"/>
      </w:rPr>
      <w:fldChar w:fldCharType="begin"/>
    </w:r>
    <w:r w:rsidRPr="00E9550A">
      <w:rPr>
        <w:rStyle w:val="Nmerodepgina"/>
        <w:rFonts w:ascii="Arial" w:hAnsi="Arial" w:cs="Arial"/>
        <w:b/>
        <w:sz w:val="16"/>
        <w:szCs w:val="16"/>
      </w:rPr>
      <w:instrText xml:space="preserve"> NUMPAGES  </w:instrText>
    </w:r>
    <w:r w:rsidRPr="00E9550A">
      <w:rPr>
        <w:rStyle w:val="Nmerodepgina"/>
        <w:rFonts w:ascii="Arial" w:hAnsi="Arial" w:cs="Arial"/>
        <w:b/>
        <w:sz w:val="16"/>
        <w:szCs w:val="16"/>
      </w:rPr>
      <w:fldChar w:fldCharType="separate"/>
    </w:r>
    <w:r w:rsidR="00655134">
      <w:rPr>
        <w:rStyle w:val="Nmerodepgina"/>
        <w:rFonts w:ascii="Arial" w:hAnsi="Arial" w:cs="Arial"/>
        <w:b/>
        <w:noProof/>
        <w:sz w:val="16"/>
        <w:szCs w:val="16"/>
      </w:rPr>
      <w:t>2</w:t>
    </w:r>
    <w:r w:rsidRPr="00E9550A">
      <w:rPr>
        <w:rStyle w:val="Nmerodepgina"/>
        <w:rFonts w:ascii="Arial" w:hAnsi="Arial" w:cs="Arial"/>
        <w:b/>
        <w:sz w:val="16"/>
        <w:szCs w:val="16"/>
      </w:rPr>
      <w:fldChar w:fldCharType="end"/>
    </w:r>
  </w:p>
  <w:p w:rsidR="00CD091C" w:rsidRDefault="00CD09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8EE" w:rsidRDefault="009E58EE" w:rsidP="004454BB">
      <w:r>
        <w:separator/>
      </w:r>
    </w:p>
  </w:footnote>
  <w:footnote w:type="continuationSeparator" w:id="0">
    <w:p w:rsidR="009E58EE" w:rsidRDefault="009E58EE" w:rsidP="00445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91C" w:rsidRDefault="00CD091C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-1402080</wp:posOffset>
          </wp:positionH>
          <wp:positionV relativeFrom="paragraph">
            <wp:posOffset>-428625</wp:posOffset>
          </wp:positionV>
          <wp:extent cx="3943350" cy="1323975"/>
          <wp:effectExtent l="0" t="0" r="0" b="0"/>
          <wp:wrapNone/>
          <wp:docPr id="2" name="Imagen 26" descr="Descripción: Marca Aerociv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6" descr="Descripción: Marca Aerociv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32461"/>
    <w:multiLevelType w:val="multilevel"/>
    <w:tmpl w:val="B5BC74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8E1216"/>
    <w:multiLevelType w:val="multilevel"/>
    <w:tmpl w:val="6EE007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45A85"/>
    <w:multiLevelType w:val="hybridMultilevel"/>
    <w:tmpl w:val="D980AD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175FB"/>
    <w:multiLevelType w:val="multilevel"/>
    <w:tmpl w:val="F146CC6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47FB7"/>
    <w:multiLevelType w:val="multilevel"/>
    <w:tmpl w:val="0542383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617"/>
    <w:rsid w:val="000341DA"/>
    <w:rsid w:val="00077C86"/>
    <w:rsid w:val="00141FAC"/>
    <w:rsid w:val="001465D5"/>
    <w:rsid w:val="00255506"/>
    <w:rsid w:val="002E7EE0"/>
    <w:rsid w:val="0031141D"/>
    <w:rsid w:val="003263E9"/>
    <w:rsid w:val="00390617"/>
    <w:rsid w:val="004454BB"/>
    <w:rsid w:val="004540B4"/>
    <w:rsid w:val="005260F1"/>
    <w:rsid w:val="00574C53"/>
    <w:rsid w:val="00581518"/>
    <w:rsid w:val="00601296"/>
    <w:rsid w:val="00655134"/>
    <w:rsid w:val="00681DBB"/>
    <w:rsid w:val="00696376"/>
    <w:rsid w:val="006A083F"/>
    <w:rsid w:val="006F1C9D"/>
    <w:rsid w:val="00727C45"/>
    <w:rsid w:val="0074722E"/>
    <w:rsid w:val="00783765"/>
    <w:rsid w:val="007B5BDF"/>
    <w:rsid w:val="007D1BA1"/>
    <w:rsid w:val="00825E4F"/>
    <w:rsid w:val="00887D67"/>
    <w:rsid w:val="008E7B4C"/>
    <w:rsid w:val="00922330"/>
    <w:rsid w:val="009632F3"/>
    <w:rsid w:val="00974A13"/>
    <w:rsid w:val="009D3EB0"/>
    <w:rsid w:val="009E58EE"/>
    <w:rsid w:val="00B009A5"/>
    <w:rsid w:val="00B547DE"/>
    <w:rsid w:val="00B63838"/>
    <w:rsid w:val="00BC5375"/>
    <w:rsid w:val="00CA50F8"/>
    <w:rsid w:val="00CB5F7A"/>
    <w:rsid w:val="00CD091C"/>
    <w:rsid w:val="00D64747"/>
    <w:rsid w:val="00DA5E04"/>
    <w:rsid w:val="00DE04E4"/>
    <w:rsid w:val="00E20F24"/>
    <w:rsid w:val="00E86688"/>
    <w:rsid w:val="00EB269D"/>
    <w:rsid w:val="00EB759A"/>
    <w:rsid w:val="00ED4B97"/>
    <w:rsid w:val="00EF4A94"/>
    <w:rsid w:val="00F713F6"/>
    <w:rsid w:val="00F93EEC"/>
    <w:rsid w:val="00F9550D"/>
    <w:rsid w:val="00FF6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9D54D1F"/>
  <w15:docId w15:val="{6F5FC67E-C1CF-4F4C-8082-3176ED2A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61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7E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EE0"/>
    <w:rPr>
      <w:rFonts w:ascii="Tahoma" w:eastAsiaTheme="minorEastAsi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4454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454BB"/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4454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454BB"/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4454BB"/>
  </w:style>
  <w:style w:type="paragraph" w:styleId="Sinespaciado">
    <w:name w:val="No Spacing"/>
    <w:link w:val="SinespaciadoCar"/>
    <w:uiPriority w:val="1"/>
    <w:qFormat/>
    <w:rsid w:val="00922330"/>
    <w:rPr>
      <w:rFonts w:ascii="Calibri" w:eastAsia="Calibri" w:hAnsi="Calibri" w:cs="Times New Roman"/>
      <w:lang w:val="es-CO"/>
    </w:rPr>
  </w:style>
  <w:style w:type="character" w:customStyle="1" w:styleId="SinespaciadoCar">
    <w:name w:val="Sin espaciado Car"/>
    <w:link w:val="Sinespaciado"/>
    <w:uiPriority w:val="1"/>
    <w:rsid w:val="00922330"/>
    <w:rPr>
      <w:rFonts w:ascii="Calibri" w:eastAsia="Calibri" w:hAnsi="Calibri" w:cs="Times New Roman"/>
      <w:lang w:val="es-CO"/>
    </w:rPr>
  </w:style>
  <w:style w:type="paragraph" w:styleId="Prrafodelista">
    <w:name w:val="List Paragraph"/>
    <w:basedOn w:val="Normal"/>
    <w:uiPriority w:val="99"/>
    <w:qFormat/>
    <w:rsid w:val="00922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95D9BF8154940874B37C79F6992EA" ma:contentTypeVersion="5" ma:contentTypeDescription="Create a new document." ma:contentTypeScope="" ma:versionID="914e5cc095ac17234303c1182773cc71">
  <xsd:schema xmlns:xsd="http://www.w3.org/2001/XMLSchema" xmlns:xs="http://www.w3.org/2001/XMLSchema" xmlns:p="http://schemas.microsoft.com/office/2006/metadata/properties" xmlns:ns2="d287baca-8686-4fac-a901-57e55be5df34" targetNamespace="http://schemas.microsoft.com/office/2006/metadata/properties" ma:root="true" ma:fieldsID="cf5e16b7e4afc2b2e556fb828595f722" ns2:_="">
    <xsd:import namespace="d287baca-8686-4fac-a901-57e55be5df34"/>
    <xsd:element name="properties">
      <xsd:complexType>
        <xsd:sequence>
          <xsd:element name="documentManagement">
            <xsd:complexType>
              <xsd:all>
                <xsd:element ref="ns2:Formato" minOccurs="0"/>
                <xsd:element ref="ns2:Descripcion" minOccurs="0"/>
                <xsd:element ref="ns2:Seccion" minOccurs="0"/>
                <xsd:element ref="ns2:Vigencia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7baca-8686-4fac-a901-57e55be5df34" elementFormDefault="qualified">
    <xsd:import namespace="http://schemas.microsoft.com/office/2006/documentManagement/types"/>
    <xsd:import namespace="http://schemas.microsoft.com/office/infopath/2007/PartnerControls"/>
    <xsd:element name="Formato" ma:index="8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Descripcion" ma:index="9" nillable="true" ma:displayName="Descripcion" ma:internalName="Descripcion">
      <xsd:simpleType>
        <xsd:restriction base="dms:Note">
          <xsd:maxLength value="255"/>
        </xsd:restriction>
      </xsd:simpleType>
    </xsd:element>
    <xsd:element name="Seccion" ma:index="10" nillable="true" ma:displayName="Seccion" ma:format="Dropdown" ma:internalName="Seccion">
      <xsd:simpleType>
        <xsd:restriction base="dms:Choice">
          <xsd:enumeration value="Conceptos Juridicos"/>
          <xsd:enumeration value="Analisis Jurisprudenciales"/>
          <xsd:enumeration value="acuerdos conciliatorios"/>
          <xsd:enumeration value="Conceptos jurídicos Asistencia legal"/>
          <xsd:enumeration value="Respuesta Observaciones"/>
          <xsd:enumeration value="Directriz OAJ"/>
        </xsd:restriction>
      </xsd:simpleType>
    </xsd:element>
    <xsd:element name="Vigencia" ma:index="11" nillable="true" ma:displayName="Vigencia" ma:default="2021" ma:description="2021&#10;2022&#10;2023&#10;2024" ma:format="Dropdown" ma:internalName="Vigencia">
      <xsd:simpleType>
        <xsd:restriction base="dms:Choice">
          <xsd:enumeration value="2021"/>
          <xsd:enumeration value="2022"/>
          <xsd:enumeration value="2023"/>
          <xsd:enumeration value="2024"/>
          <xsd:enumeration value="2025"/>
          <xsd:enumeration value="2026"/>
        </xsd:restriction>
      </xsd:simpleType>
    </xsd:element>
    <xsd:element name="orden" ma:index="12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o xmlns="d287baca-8686-4fac-a901-57e55be5df34">/Style%20Library/Images/pdf.svg</Formato>
    <Seccion xmlns="d287baca-8686-4fac-a901-57e55be5df34">Analisis Jurisprudenciales</Seccion>
    <Descripcion xmlns="d287baca-8686-4fac-a901-57e55be5df34" xsi:nil="true"/>
    <Vigencia xmlns="d287baca-8686-4fac-a901-57e55be5df34">2021</Vigencia>
    <orden xmlns="d287baca-8686-4fac-a901-57e55be5df34" xsi:nil="true"/>
  </documentManagement>
</p:properties>
</file>

<file path=customXml/itemProps1.xml><?xml version="1.0" encoding="utf-8"?>
<ds:datastoreItem xmlns:ds="http://schemas.openxmlformats.org/officeDocument/2006/customXml" ds:itemID="{FD890DC3-4D14-4821-98C9-7A6E1109E90D}"/>
</file>

<file path=customXml/itemProps2.xml><?xml version="1.0" encoding="utf-8"?>
<ds:datastoreItem xmlns:ds="http://schemas.openxmlformats.org/officeDocument/2006/customXml" ds:itemID="{52ACAB6E-5AEF-4FAD-A77F-1A9CEE5CFCCE}"/>
</file>

<file path=customXml/itemProps3.xml><?xml version="1.0" encoding="utf-8"?>
<ds:datastoreItem xmlns:ds="http://schemas.openxmlformats.org/officeDocument/2006/customXml" ds:itemID="{64566CDF-52AC-4002-9A27-2E36119CD1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4949</Characters>
  <Application>Microsoft Office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2994719</dc:creator>
  <cp:lastModifiedBy>Luz Marina Montoya Olmos</cp:lastModifiedBy>
  <cp:revision>2</cp:revision>
  <cp:lastPrinted>2019-03-01T16:20:00Z</cp:lastPrinted>
  <dcterms:created xsi:type="dcterms:W3CDTF">2019-04-16T20:21:00Z</dcterms:created>
  <dcterms:modified xsi:type="dcterms:W3CDTF">2019-04-16T20:21:00Z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0x010100AC595D9BF8154940874B37C79F6992EA</vt:lpwstr>
  </property>
</Properties>
</file>